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rFonts w:ascii="Helvetica" w:hAnsi="Helvetica"/>
          <w:lang w:val="en-US"/>
        </w:rPr>
      </w:pPr>
      <w:r>
        <w:rPr>
          <w:rFonts w:ascii="Helvetica" w:hAnsi="Helvetica"/>
          <w:lang w:val="en-US"/>
        </w:rPr>
        <w:t>Tennessee Tech University - School of Art, Craft &amp; Design</w:t>
      </w:r>
    </w:p>
    <w:p>
      <w:pPr>
        <w:pStyle w:val="Title"/>
        <w:rPr/>
      </w:pPr>
      <w:r>
        <w:rPr>
          <w:sz w:val="22"/>
          <w:szCs w:val="22"/>
        </w:rPr>
        <w:t xml:space="preserve">ART 3310, Drawing III, </w:t>
      </w:r>
      <w:r>
        <w:rPr>
          <w:rFonts w:eastAsia="Calibri" w:cs="Calibri"/>
          <w:b w:val="false"/>
          <w:bCs w:val="false"/>
          <w:i w:val="false"/>
          <w:iCs w:val="false"/>
          <w:caps w:val="false"/>
          <w:smallCaps w:val="false"/>
          <w:strike w:val="false"/>
          <w:dstrike w:val="false"/>
          <w:outline w:val="false"/>
          <w:emboss w:val="false"/>
          <w:imprint w:val="false"/>
          <w:vanish w:val="false"/>
          <w:color w:val="262626"/>
          <w:spacing w:val="0"/>
          <w:w w:val="100"/>
          <w:position w:val="0"/>
          <w:sz w:val="22"/>
          <w:sz w:val="22"/>
          <w:szCs w:val="22"/>
          <w:u w:val="none"/>
          <w:vertAlign w:val="baseline"/>
          <w:lang w:val="en-US" w:eastAsia="en-US" w:bidi="ar-SA"/>
        </w:rPr>
        <w:t>TR</w:t>
      </w:r>
      <w:r>
        <w:rPr>
          <w:sz w:val="22"/>
          <w:szCs w:val="22"/>
        </w:rPr>
        <w:t>, 1:30-4:20, Bryan Fine Arts 251, 3 credits</w:t>
      </w:r>
    </w:p>
    <w:p>
      <w:pPr>
        <w:pStyle w:val="Heading2"/>
        <w:numPr>
          <w:ilvl w:val="0"/>
          <w:numId w:val="0"/>
        </w:numPr>
        <w:ind w:left="0" w:right="0" w:hanging="0"/>
        <w:rPr/>
      </w:pPr>
      <w:r>
        <w:rPr/>
        <w:t>Instructor Information</w:t>
      </w:r>
    </w:p>
    <w:p>
      <w:pPr>
        <w:pStyle w:val="Heading3"/>
        <w:numPr>
          <w:ilvl w:val="0"/>
          <w:numId w:val="0"/>
        </w:numPr>
        <w:ind w:left="0" w:right="0" w:hanging="0"/>
        <w:rPr/>
      </w:pPr>
      <w:r>
        <w:rPr>
          <w:b/>
          <w:bCs/>
          <w:lang w:val="en-US"/>
        </w:rPr>
        <w:t>Instructor</w:t>
      </w:r>
      <w:r>
        <w:rPr>
          <w:b/>
          <w:bCs/>
        </w:rPr>
        <w:t>’</w:t>
      </w:r>
      <w:r>
        <w:rPr>
          <w:b/>
          <w:bCs/>
          <w:lang w:val="de-DE"/>
        </w:rPr>
        <w:t>s Name:</w:t>
      </w:r>
      <w:r>
        <w:rPr/>
        <w:t xml:space="preserve"> Perry Johnson</w:t>
      </w:r>
      <w:r>
        <w:rPr>
          <w:b/>
          <w:bCs/>
        </w:rPr>
        <w:br/>
      </w:r>
      <w:r>
        <w:rPr>
          <w:b/>
          <w:bCs/>
          <w:lang w:val="en-US"/>
        </w:rPr>
        <w:t>Office:</w:t>
      </w:r>
      <w:r>
        <w:rPr/>
        <w:t xml:space="preserve"> Bryan Fine Arts, 252 </w:t>
      </w:r>
      <w:r>
        <w:rPr>
          <w:spacing w:val="4"/>
          <w:lang w:val="en-US"/>
        </w:rPr>
        <w:t>Office Hours: by appointment</w:t>
      </w:r>
      <w:r>
        <w:rPr>
          <w:b/>
          <w:bCs/>
        </w:rPr>
        <w:br/>
      </w:r>
      <w:r>
        <w:rPr>
          <w:b/>
          <w:bCs/>
          <w:lang w:val="en-US"/>
        </w:rPr>
        <w:t>Telephone Number:</w:t>
      </w:r>
      <w:r>
        <w:rPr/>
        <w:t xml:space="preserve"> (423)484-9500</w:t>
      </w:r>
      <w:r>
        <w:rPr>
          <w:b/>
          <w:bCs/>
        </w:rPr>
        <w:br/>
        <w:t xml:space="preserve">Email: </w:t>
      </w:r>
      <w:r>
        <w:rPr/>
        <w:t>pjohnson@tntech.edu</w:t>
        <w:br/>
      </w:r>
    </w:p>
    <w:p>
      <w:pPr>
        <w:pStyle w:val="Heading2"/>
        <w:numPr>
          <w:ilvl w:val="0"/>
          <w:numId w:val="0"/>
        </w:numPr>
        <w:ind w:left="0" w:right="0" w:hanging="0"/>
        <w:rPr/>
      </w:pPr>
      <w:r>
        <w:rPr/>
        <w:t>Course Information</w:t>
      </w:r>
    </w:p>
    <w:p>
      <w:pPr>
        <w:pStyle w:val="Heading3"/>
        <w:numPr>
          <w:ilvl w:val="0"/>
          <w:numId w:val="0"/>
        </w:numPr>
        <w:ind w:left="0" w:right="0" w:hanging="0"/>
        <w:rPr>
          <w:sz w:val="20"/>
          <w:szCs w:val="20"/>
        </w:rPr>
      </w:pPr>
      <w:r>
        <w:rPr>
          <w:sz w:val="20"/>
          <w:szCs w:val="20"/>
        </w:rPr>
        <w:t>Prerequisite: ART 2320 or consent of instructor.</w:t>
      </w:r>
    </w:p>
    <w:p>
      <w:pPr>
        <w:pStyle w:val="Heading3"/>
        <w:ind w:left="0" w:right="0" w:hanging="0"/>
        <w:rPr/>
      </w:pPr>
      <w:r>
        <w:rPr/>
      </w:r>
    </w:p>
    <w:p>
      <w:pPr>
        <w:pStyle w:val="Heading3"/>
        <w:numPr>
          <w:ilvl w:val="0"/>
          <w:numId w:val="0"/>
        </w:numPr>
        <w:ind w:left="0" w:right="0" w:hanging="0"/>
        <w:rPr>
          <w:lang w:val="fr-FR"/>
        </w:rPr>
      </w:pPr>
      <w:r>
        <w:rPr>
          <w:lang w:val="fr-FR"/>
        </w:rPr>
        <w:t xml:space="preserve">Course Description </w:t>
      </w:r>
    </w:p>
    <w:p>
      <w:pPr>
        <w:pStyle w:val="Body"/>
        <w:bidi w:val="0"/>
        <w:spacing w:lineRule="auto" w:line="276" w:beforeAutospacing="0" w:before="0" w:afterAutospacing="0" w:after="200"/>
        <w:ind w:left="0" w:right="0" w:hanging="0"/>
        <w:jc w:val="left"/>
        <w:rPr/>
      </w:pPr>
      <w:r>
        <w:rPr/>
        <w:t>Refinement of basic techniques with emphasis on individual development.</w:t>
      </w:r>
    </w:p>
    <w:p>
      <w:pPr>
        <w:pStyle w:val="Heading3"/>
        <w:numPr>
          <w:ilvl w:val="0"/>
          <w:numId w:val="0"/>
        </w:numPr>
        <w:ind w:left="0" w:right="0" w:hanging="0"/>
        <w:rPr>
          <w:color w:val="1C1815"/>
          <w:u w:val="none"/>
          <w:lang w:val="en-US"/>
        </w:rPr>
      </w:pPr>
      <w:r>
        <w:rPr>
          <w:color w:val="1C1815"/>
          <w:u w:val="none"/>
          <w:lang w:val="en-US"/>
        </w:rPr>
        <w:t>Course Objectives/Student Learning Outcomes</w:t>
      </w:r>
    </w:p>
    <w:p>
      <w:pPr>
        <w:pStyle w:val="Body"/>
        <w:numPr>
          <w:ilvl w:val="0"/>
          <w:numId w:val="1"/>
        </w:numPr>
        <w:spacing w:lineRule="auto" w:line="240" w:before="0" w:after="0"/>
        <w:rPr>
          <w:color w:val="1C1815"/>
          <w:u w:val="none"/>
          <w:lang w:val="en-US"/>
        </w:rPr>
      </w:pPr>
      <w:r>
        <w:rPr>
          <w:color w:val="1C1815"/>
          <w:u w:val="none"/>
          <w:lang w:val="en-US"/>
        </w:rPr>
        <w:t>Develop drawing as a means of knowing a subject, and to convey that knowledge to the viewer</w:t>
      </w:r>
    </w:p>
    <w:p>
      <w:pPr>
        <w:pStyle w:val="Body"/>
        <w:numPr>
          <w:ilvl w:val="0"/>
          <w:numId w:val="1"/>
        </w:numPr>
        <w:spacing w:lineRule="auto" w:line="240" w:before="0" w:after="0"/>
        <w:rPr>
          <w:color w:val="1C1815"/>
          <w:u w:val="none"/>
          <w:lang w:val="en-US"/>
        </w:rPr>
      </w:pPr>
      <w:r>
        <w:rPr>
          <w:color w:val="1C1815"/>
          <w:u w:val="none"/>
          <w:lang w:val="en-US"/>
        </w:rPr>
        <w:t>Recognize drawing as a primary mode of working, not simply a preparatory step</w:t>
      </w:r>
    </w:p>
    <w:p>
      <w:pPr>
        <w:pStyle w:val="Body"/>
        <w:numPr>
          <w:ilvl w:val="0"/>
          <w:numId w:val="1"/>
        </w:numPr>
        <w:spacing w:lineRule="auto" w:line="240" w:before="0" w:after="0"/>
        <w:rPr>
          <w:color w:val="1C1815"/>
          <w:u w:val="none"/>
          <w:lang w:val="en-US"/>
        </w:rPr>
      </w:pPr>
      <w:r>
        <w:rPr>
          <w:color w:val="1C1815"/>
          <w:u w:val="none"/>
          <w:lang w:val="en-US"/>
        </w:rPr>
        <w:t>Develop a considered approach to materials in support of a particular creative direction</w:t>
      </w:r>
    </w:p>
    <w:p>
      <w:pPr>
        <w:pStyle w:val="Body"/>
        <w:numPr>
          <w:ilvl w:val="0"/>
          <w:numId w:val="1"/>
        </w:numPr>
        <w:spacing w:lineRule="auto" w:line="240" w:before="0" w:after="0"/>
        <w:rPr>
          <w:color w:val="1C1815"/>
          <w:u w:val="none"/>
          <w:lang w:val="en-US"/>
        </w:rPr>
      </w:pPr>
      <w:r>
        <w:rPr>
          <w:color w:val="1C1815"/>
          <w:u w:val="none"/>
          <w:lang w:val="en-US"/>
        </w:rPr>
        <w:t>Participate in traditional critiques and informal discussion, progressively bringing more to the table</w:t>
      </w:r>
    </w:p>
    <w:p>
      <w:pPr>
        <w:pStyle w:val="Body"/>
        <w:numPr>
          <w:ilvl w:val="0"/>
          <w:numId w:val="1"/>
        </w:numPr>
        <w:spacing w:lineRule="auto" w:line="240" w:before="0" w:after="0"/>
        <w:rPr>
          <w:color w:val="1C1815"/>
          <w:u w:val="none"/>
          <w:lang w:val="en-US"/>
        </w:rPr>
      </w:pPr>
      <w:r>
        <w:rPr>
          <w:color w:val="1C1815"/>
          <w:u w:val="none"/>
          <w:lang w:val="en-US"/>
        </w:rPr>
        <w:t>Continue research and studio work to further individual creative direction</w:t>
      </w:r>
    </w:p>
    <w:p>
      <w:pPr>
        <w:pStyle w:val="Body"/>
        <w:numPr>
          <w:ilvl w:val="0"/>
          <w:numId w:val="1"/>
        </w:numPr>
        <w:spacing w:lineRule="auto" w:line="240" w:before="0" w:after="0"/>
        <w:rPr>
          <w:color w:val="1C1815"/>
          <w:u w:val="none"/>
          <w:lang w:val="en-US"/>
        </w:rPr>
      </w:pPr>
      <w:r>
        <w:rPr>
          <w:color w:val="1C1815"/>
          <w:u w:val="none"/>
          <w:lang w:val="en-US"/>
        </w:rPr>
        <w:t>Focused study of historical and contemporary approaches to drawing</w:t>
      </w:r>
    </w:p>
    <w:p>
      <w:pPr>
        <w:pStyle w:val="Body"/>
        <w:numPr>
          <w:ilvl w:val="0"/>
          <w:numId w:val="1"/>
        </w:numPr>
        <w:spacing w:lineRule="auto" w:line="240" w:before="0" w:after="0"/>
        <w:rPr>
          <w:color w:val="1C1815"/>
          <w:u w:val="none"/>
          <w:lang w:val="en-US"/>
        </w:rPr>
      </w:pPr>
      <w:r>
        <w:rPr>
          <w:color w:val="1C1815"/>
          <w:u w:val="none"/>
          <w:lang w:val="en-US"/>
        </w:rPr>
        <w:t>Show experimentation and risk taking in both conception and execution</w:t>
      </w:r>
    </w:p>
    <w:p>
      <w:pPr>
        <w:pStyle w:val="Heading3"/>
        <w:ind w:left="0" w:right="0" w:hanging="0"/>
        <w:rPr>
          <w:color w:val="1C1815"/>
          <w:u w:val="none"/>
        </w:rPr>
      </w:pPr>
      <w:r>
        <w:rPr>
          <w:color w:val="1C1815"/>
          <w:u w:val="none"/>
        </w:rPr>
      </w:r>
    </w:p>
    <w:p>
      <w:pPr>
        <w:pStyle w:val="Heading3"/>
        <w:numPr>
          <w:ilvl w:val="0"/>
          <w:numId w:val="0"/>
        </w:numPr>
        <w:ind w:left="0" w:right="0" w:hanging="0"/>
        <w:rPr/>
      </w:pPr>
      <w:r>
        <w:rPr/>
        <w:t>Grading and Evaluation Procedures</w:t>
      </w:r>
    </w:p>
    <w:p>
      <w:pPr>
        <w:pStyle w:val="Body"/>
        <w:rPr/>
      </w:pPr>
      <w:r>
        <w:rPr/>
        <w:t xml:space="preserve">Grades are an indication of how well you are doing in the course. </w:t>
        <w:br/>
        <w:t>Grades will be given with regard to the following:</w:t>
      </w:r>
    </w:p>
    <w:p>
      <w:pPr>
        <w:pStyle w:val="Body"/>
        <w:numPr>
          <w:ilvl w:val="0"/>
          <w:numId w:val="1"/>
        </w:numPr>
        <w:spacing w:lineRule="auto" w:line="240" w:before="0" w:after="0"/>
        <w:rPr>
          <w:lang w:val="en-US"/>
        </w:rPr>
      </w:pPr>
      <w:r>
        <w:rPr>
          <w:lang w:val="en-US"/>
        </w:rPr>
        <w:t>Quality and improvement in your work.</w:t>
      </w:r>
    </w:p>
    <w:p>
      <w:pPr>
        <w:pStyle w:val="Body"/>
        <w:numPr>
          <w:ilvl w:val="0"/>
          <w:numId w:val="1"/>
        </w:numPr>
        <w:spacing w:lineRule="auto" w:line="240" w:before="0" w:after="0"/>
        <w:rPr>
          <w:lang w:val="en-US"/>
        </w:rPr>
      </w:pPr>
      <w:r>
        <w:rPr>
          <w:lang w:val="en-US"/>
        </w:rPr>
        <w:t>Consistent work both in class and in the studio beyond class meetings</w:t>
      </w:r>
    </w:p>
    <w:p>
      <w:pPr>
        <w:pStyle w:val="Body"/>
        <w:numPr>
          <w:ilvl w:val="0"/>
          <w:numId w:val="1"/>
        </w:numPr>
        <w:spacing w:lineRule="auto" w:line="240" w:before="0" w:after="0"/>
        <w:rPr>
          <w:lang w:val="en-US"/>
        </w:rPr>
      </w:pPr>
      <w:r>
        <w:rPr>
          <w:lang w:val="en-US"/>
        </w:rPr>
        <w:t>Consideration and development of possible solutions to a problem</w:t>
      </w:r>
    </w:p>
    <w:p>
      <w:pPr>
        <w:pStyle w:val="Body"/>
        <w:numPr>
          <w:ilvl w:val="0"/>
          <w:numId w:val="1"/>
        </w:numPr>
        <w:spacing w:lineRule="auto" w:line="240" w:before="0" w:after="0"/>
        <w:rPr>
          <w:lang w:val="en-US"/>
        </w:rPr>
      </w:pPr>
      <w:r>
        <w:rPr>
          <w:lang w:val="en-US"/>
        </w:rPr>
        <w:t xml:space="preserve">Care and maintenance of the studio and personal equipment - brushes, tubes, etc. </w:t>
      </w:r>
    </w:p>
    <w:p>
      <w:pPr>
        <w:pStyle w:val="Body"/>
        <w:numPr>
          <w:ilvl w:val="0"/>
          <w:numId w:val="1"/>
        </w:numPr>
        <w:spacing w:lineRule="auto" w:line="240" w:before="0" w:after="0"/>
        <w:rPr>
          <w:lang w:val="en-US"/>
        </w:rPr>
      </w:pPr>
      <w:r>
        <w:rPr>
          <w:lang w:val="en-US"/>
        </w:rPr>
        <w:t>Craftsmanship, competence with materials, and presentation</w:t>
      </w:r>
    </w:p>
    <w:p>
      <w:pPr>
        <w:pStyle w:val="Body"/>
        <w:numPr>
          <w:ilvl w:val="0"/>
          <w:numId w:val="1"/>
        </w:numPr>
        <w:spacing w:lineRule="auto" w:line="240" w:before="0" w:after="0"/>
        <w:rPr>
          <w:lang w:val="fr-FR"/>
        </w:rPr>
      </w:pPr>
      <w:r>
        <w:rPr>
          <w:lang w:val="fr-FR"/>
        </w:rPr>
        <w:t>Participation in discussions and critiques</w:t>
      </w:r>
    </w:p>
    <w:p>
      <w:pPr>
        <w:pStyle w:val="Body"/>
        <w:numPr>
          <w:ilvl w:val="0"/>
          <w:numId w:val="1"/>
        </w:numPr>
        <w:spacing w:lineRule="auto" w:line="240" w:before="0" w:after="160"/>
        <w:rPr>
          <w:lang w:val="en-US"/>
        </w:rPr>
      </w:pPr>
      <w:r>
        <w:rPr>
          <w:lang w:val="en-US"/>
        </w:rPr>
        <w:t>Individual research and initiative</w:t>
      </w:r>
    </w:p>
    <w:tbl>
      <w:tblPr>
        <w:tblW w:w="9282" w:type="dxa"/>
        <w:jc w:val="left"/>
        <w:tblInd w:w="78" w:type="dxa"/>
        <w:tblCellMar>
          <w:top w:w="80" w:type="dxa"/>
          <w:left w:w="77" w:type="dxa"/>
          <w:bottom w:w="80" w:type="dxa"/>
          <w:right w:w="80" w:type="dxa"/>
        </w:tblCellMar>
      </w:tblPr>
      <w:tblGrid>
        <w:gridCol w:w="762"/>
        <w:gridCol w:w="811"/>
        <w:gridCol w:w="7709"/>
      </w:tblGrid>
      <w:tr>
        <w:trPr>
          <w:tblHeader w:val="true"/>
          <w:trHeight w:val="488" w:hRule="atLeast"/>
        </w:trPr>
        <w:tc>
          <w:tcPr>
            <w:tcW w:w="762" w:type="dxa"/>
            <w:tcBorders>
              <w:top w:val="single" w:sz="2" w:space="0" w:color="000001"/>
              <w:left w:val="single" w:sz="2" w:space="0" w:color="000001"/>
              <w:bottom w:val="single" w:sz="4" w:space="0" w:color="000001"/>
              <w:right w:val="single" w:sz="2" w:space="0" w:color="000001"/>
            </w:tcBorders>
            <w:shd w:color="auto" w:fill="BDC0BF" w:val="clear"/>
          </w:tcPr>
          <w:p>
            <w:pPr>
              <w:pStyle w:val="Default"/>
              <w:jc w:val="left"/>
              <w:rPr>
                <w:rFonts w:ascii="Helvetica" w:hAnsi="Helvetica"/>
                <w:b/>
                <w:b/>
                <w:bCs/>
                <w:sz w:val="18"/>
                <w:szCs w:val="18"/>
              </w:rPr>
            </w:pPr>
            <w:r>
              <w:rPr>
                <w:b/>
                <w:bCs/>
                <w:sz w:val="18"/>
                <w:szCs w:val="18"/>
              </w:rPr>
              <w:t>Letter Grade</w:t>
            </w:r>
          </w:p>
        </w:tc>
        <w:tc>
          <w:tcPr>
            <w:tcW w:w="811" w:type="dxa"/>
            <w:tcBorders>
              <w:top w:val="single" w:sz="2" w:space="0" w:color="000001"/>
              <w:left w:val="single" w:sz="2" w:space="0" w:color="000001"/>
              <w:bottom w:val="single" w:sz="4" w:space="0" w:color="000001"/>
              <w:right w:val="single" w:sz="2" w:space="0" w:color="000001"/>
            </w:tcBorders>
            <w:shd w:color="auto" w:fill="BDC0BF" w:val="clear"/>
          </w:tcPr>
          <w:p>
            <w:pPr>
              <w:pStyle w:val="Default"/>
              <w:jc w:val="left"/>
              <w:rPr>
                <w:rFonts w:ascii="Helvetica" w:hAnsi="Helvetica"/>
                <w:b/>
                <w:b/>
                <w:bCs/>
                <w:sz w:val="18"/>
                <w:szCs w:val="18"/>
              </w:rPr>
            </w:pPr>
            <w:r>
              <w:rPr>
                <w:b/>
                <w:bCs/>
                <w:sz w:val="18"/>
                <w:szCs w:val="18"/>
              </w:rPr>
              <w:t>Grade Range</w:t>
            </w:r>
          </w:p>
        </w:tc>
        <w:tc>
          <w:tcPr>
            <w:tcW w:w="7709" w:type="dxa"/>
            <w:tcBorders>
              <w:top w:val="single" w:sz="2" w:space="0" w:color="000001"/>
              <w:left w:val="single" w:sz="2" w:space="0" w:color="000001"/>
              <w:bottom w:val="single" w:sz="4" w:space="0" w:color="000001"/>
              <w:right w:val="single" w:sz="2" w:space="0" w:color="000001"/>
            </w:tcBorders>
            <w:shd w:color="auto" w:fill="BDC0BF" w:val="clear"/>
          </w:tcPr>
          <w:p>
            <w:pPr>
              <w:pStyle w:val="Default"/>
              <w:jc w:val="left"/>
              <w:rPr>
                <w:rFonts w:ascii="Helvetica" w:hAnsi="Helvetica"/>
                <w:b/>
                <w:b/>
                <w:bCs/>
                <w:sz w:val="18"/>
                <w:szCs w:val="18"/>
              </w:rPr>
            </w:pPr>
            <w:r>
              <w:rPr>
                <w:b/>
                <w:bCs/>
                <w:sz w:val="18"/>
                <w:szCs w:val="18"/>
              </w:rPr>
              <w:t>Meaning</w:t>
            </w:r>
          </w:p>
        </w:tc>
      </w:tr>
      <w:tr>
        <w:trPr>
          <w:trHeight w:val="488" w:hRule="atLeast"/>
        </w:trPr>
        <w:tc>
          <w:tcPr>
            <w:tcW w:w="762" w:type="dxa"/>
            <w:tcBorders>
              <w:top w:val="single" w:sz="4" w:space="0" w:color="000001"/>
              <w:left w:val="single" w:sz="2" w:space="0" w:color="000001"/>
              <w:bottom w:val="single" w:sz="2" w:space="0" w:color="000001"/>
              <w:right w:val="single" w:sz="2" w:space="0" w:color="000001"/>
            </w:tcBorders>
            <w:shd w:color="auto" w:fill="FFFFFF" w:val="clear"/>
          </w:tcPr>
          <w:p>
            <w:pPr>
              <w:pStyle w:val="Default"/>
              <w:jc w:val="left"/>
              <w:rPr>
                <w:rFonts w:ascii="Helvetica" w:hAnsi="Helvetica"/>
                <w:sz w:val="18"/>
                <w:szCs w:val="18"/>
              </w:rPr>
            </w:pPr>
            <w:r>
              <w:rPr>
                <w:sz w:val="18"/>
                <w:szCs w:val="18"/>
              </w:rPr>
              <w:t>A</w:t>
            </w:r>
          </w:p>
        </w:tc>
        <w:tc>
          <w:tcPr>
            <w:tcW w:w="811" w:type="dxa"/>
            <w:tcBorders>
              <w:top w:val="single" w:sz="4" w:space="0" w:color="000001"/>
              <w:left w:val="single" w:sz="2" w:space="0" w:color="000001"/>
              <w:bottom w:val="single" w:sz="2" w:space="0" w:color="000001"/>
              <w:right w:val="single" w:sz="2" w:space="0" w:color="000001"/>
            </w:tcBorders>
            <w:shd w:color="auto" w:fill="FFFFFF" w:val="clear"/>
          </w:tcPr>
          <w:p>
            <w:pPr>
              <w:pStyle w:val="Default"/>
              <w:jc w:val="left"/>
              <w:rPr>
                <w:rFonts w:ascii="Helvetica" w:hAnsi="Helvetica"/>
                <w:sz w:val="18"/>
                <w:szCs w:val="18"/>
              </w:rPr>
            </w:pPr>
            <w:r>
              <w:rPr>
                <w:sz w:val="18"/>
                <w:szCs w:val="18"/>
              </w:rPr>
              <w:t>90-100</w:t>
            </w:r>
          </w:p>
        </w:tc>
        <w:tc>
          <w:tcPr>
            <w:tcW w:w="7709" w:type="dxa"/>
            <w:tcBorders>
              <w:top w:val="single" w:sz="4" w:space="0" w:color="000001"/>
              <w:left w:val="single" w:sz="2" w:space="0" w:color="000001"/>
              <w:bottom w:val="single" w:sz="2" w:space="0" w:color="000001"/>
              <w:right w:val="single" w:sz="2" w:space="0" w:color="000001"/>
            </w:tcBorders>
            <w:shd w:color="auto" w:fill="FFFFFF" w:val="clear"/>
          </w:tcPr>
          <w:p>
            <w:pPr>
              <w:pStyle w:val="Default"/>
              <w:jc w:val="left"/>
              <w:rPr>
                <w:rFonts w:ascii="Helvetica" w:hAnsi="Helvetica"/>
                <w:sz w:val="18"/>
                <w:szCs w:val="18"/>
              </w:rPr>
            </w:pPr>
            <w:r>
              <w:rPr>
                <w:sz w:val="18"/>
                <w:szCs w:val="18"/>
              </w:rPr>
              <w:t>Pushed the boundaries of the assignment. Exhibiting superior craftsmanship and presentation along with evidence of independent thinking.</w:t>
            </w:r>
          </w:p>
        </w:tc>
      </w:tr>
      <w:tr>
        <w:trPr>
          <w:trHeight w:val="485" w:hRule="atLeast"/>
        </w:trPr>
        <w:tc>
          <w:tcPr>
            <w:tcW w:w="762" w:type="dxa"/>
            <w:tcBorders>
              <w:top w:val="single" w:sz="2" w:space="0" w:color="000001"/>
              <w:left w:val="single" w:sz="2" w:space="0" w:color="000001"/>
              <w:bottom w:val="single" w:sz="2" w:space="0" w:color="000001"/>
              <w:right w:val="single" w:sz="2" w:space="0" w:color="000001"/>
            </w:tcBorders>
            <w:shd w:color="auto" w:fill="EEEEEE" w:val="clear"/>
          </w:tcPr>
          <w:p>
            <w:pPr>
              <w:pStyle w:val="Default"/>
              <w:jc w:val="left"/>
              <w:rPr>
                <w:rFonts w:ascii="Helvetica" w:hAnsi="Helvetica"/>
                <w:sz w:val="18"/>
                <w:szCs w:val="18"/>
              </w:rPr>
            </w:pPr>
            <w:r>
              <w:rPr>
                <w:sz w:val="18"/>
                <w:szCs w:val="18"/>
              </w:rPr>
              <w:t>B</w:t>
            </w:r>
          </w:p>
        </w:tc>
        <w:tc>
          <w:tcPr>
            <w:tcW w:w="811" w:type="dxa"/>
            <w:tcBorders>
              <w:top w:val="single" w:sz="2" w:space="0" w:color="000001"/>
              <w:left w:val="single" w:sz="2" w:space="0" w:color="000001"/>
              <w:bottom w:val="single" w:sz="2" w:space="0" w:color="000001"/>
              <w:right w:val="single" w:sz="2" w:space="0" w:color="000001"/>
            </w:tcBorders>
            <w:shd w:color="auto" w:fill="EEEEEE" w:val="clear"/>
          </w:tcPr>
          <w:p>
            <w:pPr>
              <w:pStyle w:val="Default"/>
              <w:jc w:val="left"/>
              <w:rPr>
                <w:rFonts w:ascii="Helvetica" w:hAnsi="Helvetica"/>
                <w:sz w:val="18"/>
                <w:szCs w:val="18"/>
              </w:rPr>
            </w:pPr>
            <w:r>
              <w:rPr>
                <w:sz w:val="18"/>
                <w:szCs w:val="18"/>
              </w:rPr>
              <w:t>80-89</w:t>
            </w:r>
          </w:p>
        </w:tc>
        <w:tc>
          <w:tcPr>
            <w:tcW w:w="7709" w:type="dxa"/>
            <w:tcBorders>
              <w:top w:val="single" w:sz="2" w:space="0" w:color="000001"/>
              <w:left w:val="single" w:sz="2" w:space="0" w:color="000001"/>
              <w:bottom w:val="single" w:sz="2" w:space="0" w:color="000001"/>
              <w:right w:val="single" w:sz="2" w:space="0" w:color="000001"/>
            </w:tcBorders>
            <w:shd w:color="auto" w:fill="EEEEEE" w:val="clear"/>
          </w:tcPr>
          <w:p>
            <w:pPr>
              <w:pStyle w:val="Default"/>
              <w:jc w:val="left"/>
              <w:rPr>
                <w:rFonts w:ascii="Helvetica" w:hAnsi="Helvetica"/>
                <w:sz w:val="18"/>
                <w:szCs w:val="18"/>
              </w:rPr>
            </w:pPr>
            <w:r>
              <w:rPr>
                <w:sz w:val="18"/>
                <w:szCs w:val="18"/>
              </w:rPr>
              <w:t>Completed the specifications of the assignment along with good craftsmanship and aesthetic development.</w:t>
            </w:r>
          </w:p>
        </w:tc>
      </w:tr>
      <w:tr>
        <w:trPr>
          <w:trHeight w:val="245" w:hRule="atLeast"/>
        </w:trPr>
        <w:tc>
          <w:tcPr>
            <w:tcW w:w="762" w:type="dxa"/>
            <w:tcBorders>
              <w:top w:val="single" w:sz="2" w:space="0" w:color="000001"/>
              <w:left w:val="single" w:sz="2" w:space="0" w:color="000001"/>
              <w:bottom w:val="single" w:sz="2" w:space="0" w:color="000001"/>
              <w:right w:val="single" w:sz="2" w:space="0" w:color="000001"/>
            </w:tcBorders>
            <w:shd w:color="auto" w:fill="FFFFFF" w:val="clear"/>
          </w:tcPr>
          <w:p>
            <w:pPr>
              <w:pStyle w:val="Default"/>
              <w:jc w:val="left"/>
              <w:rPr>
                <w:rFonts w:ascii="Helvetica" w:hAnsi="Helvetica"/>
                <w:sz w:val="18"/>
                <w:szCs w:val="18"/>
              </w:rPr>
            </w:pPr>
            <w:r>
              <w:rPr>
                <w:sz w:val="18"/>
                <w:szCs w:val="18"/>
              </w:rPr>
              <w:t>C</w:t>
            </w:r>
          </w:p>
        </w:tc>
        <w:tc>
          <w:tcPr>
            <w:tcW w:w="811" w:type="dxa"/>
            <w:tcBorders>
              <w:top w:val="single" w:sz="2" w:space="0" w:color="000001"/>
              <w:left w:val="single" w:sz="2" w:space="0" w:color="000001"/>
              <w:bottom w:val="single" w:sz="2" w:space="0" w:color="000001"/>
              <w:right w:val="single" w:sz="2" w:space="0" w:color="000001"/>
            </w:tcBorders>
            <w:shd w:color="auto" w:fill="FFFFFF" w:val="clear"/>
          </w:tcPr>
          <w:p>
            <w:pPr>
              <w:pStyle w:val="Default"/>
              <w:jc w:val="left"/>
              <w:rPr>
                <w:rFonts w:ascii="Helvetica" w:hAnsi="Helvetica"/>
                <w:sz w:val="18"/>
                <w:szCs w:val="18"/>
              </w:rPr>
            </w:pPr>
            <w:r>
              <w:rPr>
                <w:sz w:val="18"/>
                <w:szCs w:val="18"/>
              </w:rPr>
              <w:t>70-79</w:t>
            </w:r>
          </w:p>
        </w:tc>
        <w:tc>
          <w:tcPr>
            <w:tcW w:w="7709" w:type="dxa"/>
            <w:tcBorders>
              <w:top w:val="single" w:sz="2" w:space="0" w:color="000001"/>
              <w:left w:val="single" w:sz="2" w:space="0" w:color="000001"/>
              <w:bottom w:val="single" w:sz="2" w:space="0" w:color="000001"/>
              <w:right w:val="single" w:sz="2" w:space="0" w:color="000001"/>
            </w:tcBorders>
            <w:shd w:color="auto" w:fill="FFFFFF" w:val="clear"/>
          </w:tcPr>
          <w:p>
            <w:pPr>
              <w:pStyle w:val="Default"/>
              <w:jc w:val="left"/>
              <w:rPr>
                <w:rFonts w:ascii="Helvetica" w:hAnsi="Helvetica"/>
                <w:sz w:val="18"/>
                <w:szCs w:val="18"/>
              </w:rPr>
            </w:pPr>
            <w:r>
              <w:rPr>
                <w:sz w:val="18"/>
                <w:szCs w:val="18"/>
              </w:rPr>
              <w:t>Barely completed the specifications of the assignment.</w:t>
            </w:r>
          </w:p>
        </w:tc>
      </w:tr>
      <w:tr>
        <w:trPr>
          <w:trHeight w:val="245" w:hRule="atLeast"/>
        </w:trPr>
        <w:tc>
          <w:tcPr>
            <w:tcW w:w="762" w:type="dxa"/>
            <w:tcBorders>
              <w:top w:val="single" w:sz="2" w:space="0" w:color="000001"/>
              <w:left w:val="single" w:sz="2" w:space="0" w:color="000001"/>
              <w:bottom w:val="single" w:sz="2" w:space="0" w:color="000001"/>
              <w:right w:val="single" w:sz="2" w:space="0" w:color="000001"/>
            </w:tcBorders>
            <w:shd w:color="auto" w:fill="EEEEEE" w:val="clear"/>
          </w:tcPr>
          <w:p>
            <w:pPr>
              <w:pStyle w:val="Default"/>
              <w:jc w:val="left"/>
              <w:rPr>
                <w:rFonts w:ascii="Helvetica" w:hAnsi="Helvetica"/>
                <w:sz w:val="18"/>
                <w:szCs w:val="18"/>
              </w:rPr>
            </w:pPr>
            <w:r>
              <w:rPr>
                <w:sz w:val="18"/>
                <w:szCs w:val="18"/>
              </w:rPr>
              <w:t>D</w:t>
            </w:r>
          </w:p>
        </w:tc>
        <w:tc>
          <w:tcPr>
            <w:tcW w:w="811" w:type="dxa"/>
            <w:tcBorders>
              <w:top w:val="single" w:sz="2" w:space="0" w:color="000001"/>
              <w:left w:val="single" w:sz="2" w:space="0" w:color="000001"/>
              <w:bottom w:val="single" w:sz="2" w:space="0" w:color="000001"/>
              <w:right w:val="single" w:sz="2" w:space="0" w:color="000001"/>
            </w:tcBorders>
            <w:shd w:color="auto" w:fill="EEEEEE" w:val="clear"/>
          </w:tcPr>
          <w:p>
            <w:pPr>
              <w:pStyle w:val="Default"/>
              <w:jc w:val="left"/>
              <w:rPr>
                <w:rFonts w:ascii="Helvetica" w:hAnsi="Helvetica"/>
                <w:sz w:val="18"/>
                <w:szCs w:val="18"/>
              </w:rPr>
            </w:pPr>
            <w:r>
              <w:rPr>
                <w:sz w:val="18"/>
                <w:szCs w:val="18"/>
              </w:rPr>
              <w:t>60-69</w:t>
            </w:r>
          </w:p>
        </w:tc>
        <w:tc>
          <w:tcPr>
            <w:tcW w:w="7709" w:type="dxa"/>
            <w:tcBorders>
              <w:top w:val="single" w:sz="2" w:space="0" w:color="000001"/>
              <w:left w:val="single" w:sz="2" w:space="0" w:color="000001"/>
              <w:bottom w:val="single" w:sz="2" w:space="0" w:color="000001"/>
              <w:right w:val="single" w:sz="2" w:space="0" w:color="000001"/>
            </w:tcBorders>
            <w:shd w:color="auto" w:fill="EEEEEE" w:val="clear"/>
          </w:tcPr>
          <w:p>
            <w:pPr>
              <w:pStyle w:val="Default"/>
              <w:jc w:val="left"/>
              <w:rPr>
                <w:rFonts w:ascii="Helvetica" w:hAnsi="Helvetica"/>
                <w:sz w:val="18"/>
                <w:szCs w:val="18"/>
              </w:rPr>
            </w:pPr>
            <w:r>
              <w:rPr>
                <w:sz w:val="18"/>
                <w:szCs w:val="18"/>
              </w:rPr>
              <w:t>Attempted to satisfy the specifications of the assignment but fell short.</w:t>
            </w:r>
          </w:p>
        </w:tc>
      </w:tr>
      <w:tr>
        <w:trPr>
          <w:trHeight w:val="485" w:hRule="atLeast"/>
        </w:trPr>
        <w:tc>
          <w:tcPr>
            <w:tcW w:w="762" w:type="dxa"/>
            <w:tcBorders>
              <w:top w:val="single" w:sz="2" w:space="0" w:color="000001"/>
              <w:left w:val="single" w:sz="2" w:space="0" w:color="000001"/>
              <w:bottom w:val="single" w:sz="2" w:space="0" w:color="000001"/>
              <w:right w:val="single" w:sz="2" w:space="0" w:color="000001"/>
            </w:tcBorders>
            <w:shd w:color="auto" w:fill="FFFFFF" w:val="clear"/>
          </w:tcPr>
          <w:p>
            <w:pPr>
              <w:pStyle w:val="Default"/>
              <w:jc w:val="left"/>
              <w:rPr>
                <w:rFonts w:ascii="Helvetica" w:hAnsi="Helvetica"/>
                <w:sz w:val="18"/>
                <w:szCs w:val="18"/>
              </w:rPr>
            </w:pPr>
            <w:r>
              <w:rPr>
                <w:sz w:val="18"/>
                <w:szCs w:val="18"/>
              </w:rPr>
              <w:t>F</w:t>
            </w:r>
          </w:p>
        </w:tc>
        <w:tc>
          <w:tcPr>
            <w:tcW w:w="811" w:type="dxa"/>
            <w:tcBorders>
              <w:top w:val="single" w:sz="2" w:space="0" w:color="000001"/>
              <w:left w:val="single" w:sz="2" w:space="0" w:color="000001"/>
              <w:bottom w:val="single" w:sz="2" w:space="0" w:color="000001"/>
              <w:right w:val="single" w:sz="2" w:space="0" w:color="000001"/>
            </w:tcBorders>
            <w:shd w:color="auto" w:fill="FFFFFF" w:val="clear"/>
          </w:tcPr>
          <w:p>
            <w:pPr>
              <w:pStyle w:val="Default"/>
              <w:jc w:val="left"/>
              <w:rPr>
                <w:rFonts w:ascii="Helvetica" w:hAnsi="Helvetica"/>
                <w:sz w:val="18"/>
                <w:szCs w:val="18"/>
              </w:rPr>
            </w:pPr>
            <w:r>
              <w:rPr>
                <w:sz w:val="18"/>
                <w:szCs w:val="18"/>
              </w:rPr>
              <w:t>below 60</w:t>
            </w:r>
          </w:p>
        </w:tc>
        <w:tc>
          <w:tcPr>
            <w:tcW w:w="7709" w:type="dxa"/>
            <w:tcBorders>
              <w:top w:val="single" w:sz="2" w:space="0" w:color="000001"/>
              <w:left w:val="single" w:sz="2" w:space="0" w:color="000001"/>
              <w:bottom w:val="single" w:sz="2" w:space="0" w:color="000001"/>
              <w:right w:val="single" w:sz="2" w:space="0" w:color="000001"/>
            </w:tcBorders>
            <w:shd w:color="auto" w:fill="FFFFFF" w:val="clear"/>
          </w:tcPr>
          <w:p>
            <w:pPr>
              <w:pStyle w:val="Default"/>
              <w:jc w:val="left"/>
              <w:rPr>
                <w:rFonts w:ascii="Helvetica" w:hAnsi="Helvetica"/>
                <w:sz w:val="18"/>
                <w:szCs w:val="18"/>
              </w:rPr>
            </w:pPr>
            <w:r>
              <w:rPr>
                <w:sz w:val="18"/>
                <w:szCs w:val="18"/>
              </w:rPr>
              <w:t>Little or no attempt made to satisfy the specifications of the project.</w:t>
            </w:r>
          </w:p>
        </w:tc>
      </w:tr>
    </w:tbl>
    <w:p>
      <w:pPr>
        <w:pStyle w:val="Heading4"/>
        <w:ind w:left="0" w:right="0" w:hanging="0"/>
        <w:rPr>
          <w:rFonts w:ascii="Helvetica" w:hAnsi="Helvetica" w:eastAsia="Helvetica" w:cs="Helvetica"/>
          <w:caps w:val="false"/>
          <w:smallCaps w:val="false"/>
        </w:rPr>
      </w:pPr>
      <w:r>
        <w:rPr>
          <w:rFonts w:eastAsia="Helvetica" w:cs="Helvetica" w:ascii="Helvetica" w:hAnsi="Helvetica"/>
          <w:caps w:val="false"/>
          <w:smallCaps w:val="false"/>
        </w:rPr>
      </w:r>
    </w:p>
    <w:p>
      <w:pPr>
        <w:pStyle w:val="Heading2"/>
        <w:ind w:left="0" w:right="0" w:hanging="0"/>
        <w:rPr/>
      </w:pPr>
      <w:r>
        <w:rPr/>
      </w:r>
    </w:p>
    <w:p>
      <w:pPr>
        <w:pStyle w:val="Heading2"/>
        <w:numPr>
          <w:ilvl w:val="0"/>
          <w:numId w:val="0"/>
        </w:numPr>
        <w:ind w:left="0" w:right="0" w:hanging="0"/>
        <w:rPr/>
      </w:pPr>
      <w:r>
        <w:rPr/>
      </w:r>
    </w:p>
    <w:p>
      <w:pPr>
        <w:pStyle w:val="Body"/>
        <w:rPr/>
      </w:pPr>
      <w:r>
        <w:rPr/>
        <w:t xml:space="preserve">No incompletes will be given except in the case of an EXTREME </w:t>
      </w:r>
      <w:r>
        <w:rPr>
          <w:sz w:val="20"/>
          <w:szCs w:val="20"/>
        </w:rPr>
        <w:t>circumstance</w:t>
      </w:r>
      <w:r>
        <w:rPr/>
        <w:t>. Incompletes are never a good idea, and do not assume that you will be granted an incomplete simply because you stop attending class or do not turn in your assignments.</w:t>
      </w:r>
    </w:p>
    <w:p>
      <w:pPr>
        <w:pStyle w:val="Body"/>
        <w:rPr/>
      </w:pPr>
      <w:r>
        <w:rPr/>
        <w:t>KEEP ALL WORK UNTIL THE END OF THE SEMESTER. Art students should remain aware that they will need work for scholarship applications and progress reviews.</w:t>
      </w:r>
    </w:p>
    <w:p>
      <w:pPr>
        <w:pStyle w:val="Heading2"/>
        <w:numPr>
          <w:ilvl w:val="0"/>
          <w:numId w:val="0"/>
        </w:numPr>
        <w:ind w:left="0" w:right="0" w:hanging="0"/>
        <w:rPr/>
      </w:pPr>
      <w:r>
        <w:rPr/>
        <w:t>Course Policies</w:t>
      </w:r>
    </w:p>
    <w:p>
      <w:pPr>
        <w:pStyle w:val="Heading3"/>
        <w:numPr>
          <w:ilvl w:val="0"/>
          <w:numId w:val="0"/>
        </w:numPr>
        <w:ind w:left="0" w:right="0" w:hanging="0"/>
        <w:rPr/>
      </w:pPr>
      <w:r>
        <w:rPr/>
        <w:t xml:space="preserve">Student Academic Misconduct Policy </w:t>
      </w:r>
    </w:p>
    <w:p>
      <w:pPr>
        <w:pStyle w:val="Body"/>
        <w:rPr/>
      </w:pPr>
      <w:r>
        <w:rPr/>
        <w:t xml:space="preserve">Maintaining high standards of academic integrity in every class at Tennessee Tech is critical to the reputation of Tennessee Tech, its students, alumni, and the employers of Tennessee Tech graduates. The Student Academic Misconduct Policy describes the definitions of academic misconduct and policies and procedures for addressing Academic Misconduct at Tennessee Tech.  For details, view the Tennessee Tech’s Policy 217 – Student Academic Misconduct at </w:t>
      </w:r>
      <w:hyperlink r:id="rId2">
        <w:r>
          <w:rPr>
            <w:rStyle w:val="Hyperlink0"/>
          </w:rPr>
          <w:t>Policy Central</w:t>
        </w:r>
      </w:hyperlink>
      <w:r>
        <w:rPr/>
        <w:t>.</w:t>
      </w:r>
    </w:p>
    <w:p>
      <w:pPr>
        <w:pStyle w:val="Heading3"/>
        <w:numPr>
          <w:ilvl w:val="0"/>
          <w:numId w:val="0"/>
        </w:numPr>
        <w:ind w:left="0" w:right="0" w:hanging="0"/>
        <w:rPr/>
      </w:pPr>
      <w:r>
        <w:rPr/>
        <w:t>Attendance Policy</w:t>
      </w:r>
    </w:p>
    <w:p>
      <w:pPr>
        <w:pStyle w:val="Body"/>
        <w:rPr/>
      </w:pPr>
      <w:r>
        <w:rPr/>
        <w:t>Attendance is mandatory, and you will be expected to be in class and on time for each scheduled meeting. Extracurricular activities are not a license for absence. Consideration will be given for a death in the family and serious illness (which may be confirmed by a doctor.) Any work missed as the result of an absence MUST BE completed or a substitute completed. If you miss class you are still responsible for the same quality and quantity of work as if you had been present. Beyond two absences, there will be a grade deduction of  five points per absence. Two late arrivals (15 minutes after start of class) or two early departures (15 minutes before end of class) are counted as one absence. Students missing seven or more classes will fail the course.</w:t>
      </w:r>
    </w:p>
    <w:p>
      <w:pPr>
        <w:pStyle w:val="Body"/>
        <w:rPr/>
      </w:pPr>
      <w:r>
        <w:rPr/>
        <w:t xml:space="preserve">Special Circumstances: Should a family emergency or serious personal illness arise that prevents you from attending class or completing assignments, it is important that you communicate with me. Please visit the Counseling Office or the Dean’s Office for advisement on how to proceed if the issues are confidential. </w:t>
      </w:r>
    </w:p>
    <w:p>
      <w:pPr>
        <w:pStyle w:val="Heading3"/>
        <w:numPr>
          <w:ilvl w:val="0"/>
          <w:numId w:val="0"/>
        </w:numPr>
        <w:ind w:left="0" w:right="0" w:hanging="0"/>
        <w:rPr/>
      </w:pPr>
      <w:r>
        <w:rPr/>
        <w:t>Class Decorum</w:t>
      </w:r>
    </w:p>
    <w:p>
      <w:pPr>
        <w:pStyle w:val="Body"/>
        <w:spacing w:lineRule="auto" w:line="240" w:before="0" w:after="0"/>
        <w:rPr>
          <w:lang w:val="en-US"/>
        </w:rPr>
      </w:pPr>
      <w:r>
        <w:rPr>
          <w:lang w:val="en-US"/>
        </w:rPr>
        <w:t>Be respectful in speech and action. Anything that disrupts the class or hinders the learning process is unacceptable. This includes but is not limited to cell phones, texting, facebook, meals, and inebriation. Such disruptions will count as half an absence each offense. Students are responsible for regular studio cleanup.</w:t>
      </w:r>
    </w:p>
    <w:p>
      <w:pPr>
        <w:pStyle w:val="Body"/>
        <w:spacing w:lineRule="auto" w:line="240" w:before="0" w:after="0"/>
        <w:rPr>
          <w:lang w:val="en-US"/>
        </w:rPr>
      </w:pPr>
      <w:r>
        <w:rPr>
          <w:lang w:val="en-US"/>
        </w:rPr>
      </w:r>
    </w:p>
    <w:p>
      <w:pPr>
        <w:pStyle w:val="Heading3"/>
        <w:numPr>
          <w:ilvl w:val="0"/>
          <w:numId w:val="0"/>
        </w:numPr>
        <w:ind w:left="0" w:right="0" w:hanging="0"/>
        <w:rPr/>
      </w:pPr>
      <w:r>
        <w:rPr/>
        <w:t>Class Participation</w:t>
      </w:r>
    </w:p>
    <w:p>
      <w:pPr>
        <w:pStyle w:val="Body"/>
        <w:rPr/>
      </w:pPr>
      <w:r>
        <w:rPr/>
        <w:t>Critiques are mandatory! Critiques offer immediate feedback from peers and from the professor. Failure to attend and participate in a scheduled critique will result in a lowered grade.</w:t>
      </w:r>
    </w:p>
    <w:p>
      <w:pPr>
        <w:pStyle w:val="Heading3"/>
        <w:numPr>
          <w:ilvl w:val="0"/>
          <w:numId w:val="0"/>
        </w:numPr>
        <w:ind w:left="0" w:right="0" w:hanging="0"/>
        <w:rPr/>
      </w:pPr>
      <w:r>
        <w:rPr/>
        <w:t>Disability Accommodation</w:t>
      </w:r>
    </w:p>
    <w:p>
      <w:pPr>
        <w:pStyle w:val="Body"/>
        <w:rPr/>
      </w:pPr>
      <w:r>
        <w:rPr/>
        <w:t xml:space="preserve">Students with a disability requiring accommodations should contact the </w:t>
      </w:r>
      <w:r>
        <w:rPr>
          <w:rFonts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0"/>
          <w:sz w:val="20"/>
          <w:szCs w:val="20"/>
          <w:u w:val="none"/>
          <w:vertAlign w:val="baseline"/>
          <w:lang w:val="en-US" w:eastAsia="zh-CN" w:bidi="hi-IN"/>
        </w:rPr>
        <w:t>Accessible Education Center</w:t>
      </w:r>
      <w:r>
        <w:rPr/>
        <w:t xml:space="preserve"> (</w:t>
      </w:r>
      <w:r>
        <w:rPr>
          <w:rFonts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0"/>
          <w:sz w:val="20"/>
          <w:szCs w:val="20"/>
          <w:u w:val="none"/>
          <w:vertAlign w:val="baseline"/>
          <w:lang w:val="en-US" w:eastAsia="zh-CN" w:bidi="hi-IN"/>
        </w:rPr>
        <w:t>AEC</w:t>
      </w:r>
      <w:r>
        <w:rPr/>
        <w:t xml:space="preserve">).  An Accommodation Request (AR) should be completed as soon as possible, preferably by the end of the first week of the course.  The </w:t>
      </w:r>
      <w:r>
        <w:rPr>
          <w:rFonts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0"/>
          <w:sz w:val="20"/>
          <w:szCs w:val="20"/>
          <w:u w:val="none"/>
          <w:vertAlign w:val="baseline"/>
          <w:lang w:val="en-US" w:eastAsia="zh-CN" w:bidi="hi-IN"/>
        </w:rPr>
        <w:t>AEC</w:t>
      </w:r>
      <w:r>
        <w:rPr/>
        <w:t xml:space="preserve"> is located in the Roaden University Center, Room 112; phone 372-6119. For details, view the Tennessee Tech’s Policy 340 – Services for Students with Disabilities at </w:t>
      </w:r>
      <w:hyperlink r:id="rId3">
        <w:r>
          <w:rPr>
            <w:rStyle w:val="Hyperlink0"/>
          </w:rPr>
          <w:t>Policy Central</w:t>
        </w:r>
      </w:hyperlink>
      <w:r>
        <w:rPr/>
        <w:t>.</w:t>
      </w:r>
    </w:p>
    <w:p>
      <w:pPr>
        <w:pStyle w:val="Heading3"/>
        <w:numPr>
          <w:ilvl w:val="0"/>
          <w:numId w:val="0"/>
        </w:numPr>
        <w:ind w:left="0" w:right="0" w:hanging="0"/>
        <w:rPr/>
      </w:pPr>
      <w:r>
        <w:rPr/>
        <w:t>TTU Library Online Access</w:t>
      </w:r>
    </w:p>
    <w:p>
      <w:pPr>
        <w:pStyle w:val="Body"/>
        <w:rPr/>
      </w:pPr>
      <w:r>
        <w:rPr/>
        <w:t>The Tennessee Tech Library is available to all candidates enrolled at TTU. Links to the library materials (such as electronic journals, databases, interlibrary loans, digital reserves, dictionaries, encyclopedias, maps, and librarian support) and Internet resources are available to complete assignments. To access the online databases, use your TTU PC Lab username and password. If you do not know your TTU username and password see the following: https://www.tntech.edu/its/password.htm.  More information on electronic media is available at the TTU Library http://www.tntech.edu/library/.</w:t>
      </w:r>
    </w:p>
    <w:p>
      <w:pPr>
        <w:pStyle w:val="Heading3"/>
        <w:numPr>
          <w:ilvl w:val="0"/>
          <w:numId w:val="0"/>
        </w:numPr>
        <w:ind w:left="0" w:right="0" w:hanging="0"/>
        <w:rPr/>
      </w:pPr>
      <w:r>
        <w:rPr/>
        <w:t>Copyright and Fair Use</w:t>
      </w:r>
    </w:p>
    <w:p>
      <w:pPr>
        <w:pStyle w:val="Body"/>
        <w:rPr/>
      </w:pPr>
      <w:r>
        <w:rPr/>
        <w:t>All projects created in this course should follow appropriate copyright and fair use guidelines. Additional information is available at: http://www.utsystem.edu/ogc/intellectualproperty/cprtindx.htm</w:t>
      </w:r>
    </w:p>
    <w:p>
      <w:pPr>
        <w:pStyle w:val="Body"/>
        <w:rPr/>
      </w:pPr>
      <w:r>
        <w:rPr/>
        <w:t xml:space="preserve">Please note: TTU personnel may display your work created during the scope of this course during accreditation, conference presentations, workshops, and/or future classes. </w:t>
      </w:r>
    </w:p>
    <w:p>
      <w:pPr>
        <w:pStyle w:val="Heading3"/>
        <w:numPr>
          <w:ilvl w:val="0"/>
          <w:numId w:val="0"/>
        </w:numPr>
        <w:ind w:left="0" w:right="0" w:hanging="0"/>
        <w:rPr/>
      </w:pPr>
      <w:r>
        <w:rPr/>
        <w:t>Student Academic Misconduct Policy</w:t>
      </w:r>
    </w:p>
    <w:p>
      <w:pPr>
        <w:pStyle w:val="Body"/>
        <w:keepNext w:val="true"/>
        <w:keepLines w:val="false"/>
        <w:pageBreakBefore w:val="false"/>
        <w:widowControl/>
        <w:suppressAutoHyphens w:val="false"/>
        <w:bidi w:val="0"/>
        <w:spacing w:lineRule="auto" w:line="276" w:before="0" w:after="200"/>
        <w:ind w:left="0" w:right="0" w:hanging="0"/>
        <w:jc w:val="left"/>
        <w:rPr/>
      </w:pPr>
      <w:r>
        <w:rPr/>
        <w:t>Maintaining high standards of academic integrity in every class at Tennessee Tech is critical to the reputation of Tennessee Tech, its students, alumni, and the employers of Tennessee Tech graduates. The Student Academic Misconduct Policy describes the definitions of academic misconduct and policies and procedures for addressing Academic Misconduct at Tennessee Tech. For details, view the Tennessee Tech’s Policy 217 – Student Academic Misconduct at Policy Central.</w:t>
      </w:r>
    </w:p>
    <w:sectPr>
      <w:type w:val="nextPage"/>
      <w:pgSz w:w="12240" w:h="15840"/>
      <w:pgMar w:left="1440" w:right="1440" w:header="0" w:top="720" w:footer="0" w:bottom="720" w:gutter="0"/>
      <w:pgNumType w:fmt="decimal"/>
      <w:formProt w:val="false"/>
      <w:textDirection w:val="lrTb"/>
      <w:bidi/>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Helvetica">
    <w:altName w:val="Arial"/>
    <w:charset w:val="01"/>
    <w:family w:val="swiss"/>
    <w:pitch w:val="variable"/>
  </w:font>
  <w:font w:name="Calibri">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Helvetica">
    <w:altName w:val="Arial"/>
    <w:charset w:val="01"/>
    <w:family w:val="roman"/>
    <w:pitch w:val="variable"/>
  </w:font>
  <w:font w:name="Calibri">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547" w:hanging="187"/>
      </w:pPr>
      <w:rPr>
        <w:rFonts w:ascii="Symbol" w:hAnsi="Symbol" w:cs="Symbol" w:hint="default"/>
        <w:smallCaps w:val="false"/>
        <w:caps w:val="false"/>
        <w:outline w:val="false"/>
        <w:dstrike w:val="false"/>
        <w:strike w:val="false"/>
        <w:vertAlign w:val="baseline"/>
        <w:position w:val="0"/>
        <w:sz w:val="24"/>
        <w:sz w:val="24"/>
        <w:spacing w:val="0"/>
        <w:w w:val="100"/>
        <w:emboss w:val="false"/>
        <w:imprint w:val="false"/>
        <w:rFonts w:cs="Symbol"/>
      </w:rPr>
    </w:lvl>
    <w:lvl w:ilvl="1">
      <w:start w:val="1"/>
      <w:numFmt w:val="bullet"/>
      <w:lvlText w:val=""/>
      <w:lvlJc w:val="left"/>
      <w:pPr>
        <w:ind w:left="907" w:hanging="187"/>
      </w:pPr>
      <w:rPr>
        <w:rFonts w:ascii="Symbol" w:hAnsi="Symbol" w:cs="Symbol" w:hint="default"/>
        <w:smallCaps w:val="false"/>
        <w:caps w:val="false"/>
        <w:outline w:val="false"/>
        <w:dstrike w:val="false"/>
        <w:strike w:val="false"/>
        <w:vertAlign w:val="baseline"/>
        <w:position w:val="0"/>
        <w:sz w:val="24"/>
        <w:sz w:val="24"/>
        <w:spacing w:val="0"/>
        <w:w w:val="100"/>
        <w:emboss w:val="false"/>
        <w:imprint w:val="false"/>
        <w:rFonts w:cs="Symbol"/>
      </w:rPr>
    </w:lvl>
    <w:lvl w:ilvl="2">
      <w:start w:val="1"/>
      <w:numFmt w:val="bullet"/>
      <w:lvlText w:val=""/>
      <w:lvlJc w:val="left"/>
      <w:pPr>
        <w:ind w:left="1627" w:hanging="187"/>
      </w:pPr>
      <w:rPr>
        <w:rFonts w:ascii="Symbol" w:hAnsi="Symbol" w:cs="Symbol" w:hint="default"/>
        <w:smallCaps w:val="false"/>
        <w:caps w:val="false"/>
        <w:outline w:val="false"/>
        <w:dstrike w:val="false"/>
        <w:strike w:val="false"/>
        <w:vertAlign w:val="baseline"/>
        <w:position w:val="0"/>
        <w:sz w:val="24"/>
        <w:sz w:val="24"/>
        <w:spacing w:val="0"/>
        <w:w w:val="100"/>
        <w:emboss w:val="false"/>
        <w:imprint w:val="false"/>
        <w:rFonts w:cs="Symbol"/>
      </w:rPr>
    </w:lvl>
    <w:lvl w:ilvl="3">
      <w:start w:val="1"/>
      <w:numFmt w:val="bullet"/>
      <w:lvlText w:val=""/>
      <w:lvlJc w:val="left"/>
      <w:pPr>
        <w:ind w:left="2347" w:hanging="187"/>
      </w:pPr>
      <w:rPr>
        <w:rFonts w:ascii="Symbol" w:hAnsi="Symbol" w:cs="Symbol" w:hint="default"/>
        <w:smallCaps w:val="false"/>
        <w:caps w:val="false"/>
        <w:outline w:val="false"/>
        <w:dstrike w:val="false"/>
        <w:strike w:val="false"/>
        <w:vertAlign w:val="baseline"/>
        <w:position w:val="0"/>
        <w:sz w:val="24"/>
        <w:sz w:val="24"/>
        <w:spacing w:val="0"/>
        <w:w w:val="100"/>
        <w:emboss w:val="false"/>
        <w:imprint w:val="false"/>
        <w:rFonts w:cs="Symbol"/>
      </w:rPr>
    </w:lvl>
    <w:lvl w:ilvl="4">
      <w:start w:val="1"/>
      <w:numFmt w:val="bullet"/>
      <w:lvlText w:val=""/>
      <w:lvlJc w:val="left"/>
      <w:pPr>
        <w:ind w:left="3067" w:hanging="187"/>
      </w:pPr>
      <w:rPr>
        <w:rFonts w:ascii="Symbol" w:hAnsi="Symbol" w:cs="Symbol" w:hint="default"/>
        <w:smallCaps w:val="false"/>
        <w:caps w:val="false"/>
        <w:outline w:val="false"/>
        <w:dstrike w:val="false"/>
        <w:strike w:val="false"/>
        <w:vertAlign w:val="baseline"/>
        <w:position w:val="0"/>
        <w:sz w:val="24"/>
        <w:sz w:val="24"/>
        <w:spacing w:val="0"/>
        <w:w w:val="100"/>
        <w:emboss w:val="false"/>
        <w:imprint w:val="false"/>
        <w:rFonts w:cs="Symbol"/>
      </w:rPr>
    </w:lvl>
    <w:lvl w:ilvl="5">
      <w:start w:val="1"/>
      <w:numFmt w:val="bullet"/>
      <w:lvlText w:val=""/>
      <w:lvlJc w:val="left"/>
      <w:pPr>
        <w:ind w:left="3787" w:hanging="187"/>
      </w:pPr>
      <w:rPr>
        <w:rFonts w:ascii="Symbol" w:hAnsi="Symbol" w:cs="Symbol" w:hint="default"/>
        <w:smallCaps w:val="false"/>
        <w:caps w:val="false"/>
        <w:outline w:val="false"/>
        <w:dstrike w:val="false"/>
        <w:strike w:val="false"/>
        <w:vertAlign w:val="baseline"/>
        <w:position w:val="0"/>
        <w:sz w:val="24"/>
        <w:sz w:val="24"/>
        <w:spacing w:val="0"/>
        <w:w w:val="100"/>
        <w:emboss w:val="false"/>
        <w:imprint w:val="false"/>
        <w:rFonts w:cs="Symbol"/>
      </w:rPr>
    </w:lvl>
    <w:lvl w:ilvl="6">
      <w:start w:val="1"/>
      <w:numFmt w:val="bullet"/>
      <w:lvlText w:val=""/>
      <w:lvlJc w:val="left"/>
      <w:pPr>
        <w:ind w:left="4507" w:hanging="187"/>
      </w:pPr>
      <w:rPr>
        <w:rFonts w:ascii="Symbol" w:hAnsi="Symbol" w:cs="Symbol" w:hint="default"/>
        <w:smallCaps w:val="false"/>
        <w:caps w:val="false"/>
        <w:outline w:val="false"/>
        <w:dstrike w:val="false"/>
        <w:strike w:val="false"/>
        <w:vertAlign w:val="baseline"/>
        <w:position w:val="0"/>
        <w:sz w:val="24"/>
        <w:sz w:val="24"/>
        <w:spacing w:val="0"/>
        <w:w w:val="100"/>
        <w:emboss w:val="false"/>
        <w:imprint w:val="false"/>
        <w:rFonts w:cs="Symbol"/>
      </w:rPr>
    </w:lvl>
    <w:lvl w:ilvl="7">
      <w:start w:val="1"/>
      <w:numFmt w:val="bullet"/>
      <w:lvlText w:val=""/>
      <w:lvlJc w:val="left"/>
      <w:pPr>
        <w:ind w:left="5227" w:hanging="187"/>
      </w:pPr>
      <w:rPr>
        <w:rFonts w:ascii="Symbol" w:hAnsi="Symbol" w:cs="Symbol" w:hint="default"/>
        <w:smallCaps w:val="false"/>
        <w:caps w:val="false"/>
        <w:outline w:val="false"/>
        <w:dstrike w:val="false"/>
        <w:strike w:val="false"/>
        <w:vertAlign w:val="baseline"/>
        <w:position w:val="0"/>
        <w:sz w:val="24"/>
        <w:sz w:val="24"/>
        <w:spacing w:val="0"/>
        <w:w w:val="100"/>
        <w:emboss w:val="false"/>
        <w:imprint w:val="false"/>
        <w:rFonts w:cs="Symbol"/>
      </w:rPr>
    </w:lvl>
    <w:lvl w:ilvl="8">
      <w:start w:val="1"/>
      <w:numFmt w:val="bullet"/>
      <w:lvlText w:val=""/>
      <w:lvlJc w:val="left"/>
      <w:pPr>
        <w:ind w:left="5947" w:hanging="187"/>
      </w:pPr>
      <w:rPr>
        <w:rFonts w:ascii="Symbol" w:hAnsi="Symbol" w:cs="Symbol" w:hint="default"/>
        <w:smallCaps w:val="false"/>
        <w:caps w:val="false"/>
        <w:outline w:val="false"/>
        <w:dstrike w:val="false"/>
        <w:strike w:val="false"/>
        <w:vertAlign w:val="baseline"/>
        <w:position w:val="0"/>
        <w:sz w:val="24"/>
        <w:sz w:val="24"/>
        <w:spacing w:val="0"/>
        <w:w w:val="100"/>
        <w:emboss w:val="false"/>
        <w:imprint w:val="false"/>
        <w:rFonts w:cs="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A"/>
        <w:sz w:val="20"/>
        <w:lang w:val="en-US" w:eastAsia="zh-CN" w:bidi="hi-IN"/>
      </w:rPr>
    </w:rPrDefault>
    <w:pPrDefault>
      <w:pPr/>
    </w:pPrDefault>
  </w:docDefaults>
  <w:style w:type="paragraph" w:styleId="Normal">
    <w:name w:val="Normal"/>
    <w:qFormat/>
    <w:pPr>
      <w:keepNext w:val="true"/>
      <w:keepLines w:val="false"/>
      <w:pageBreakBefore w:val="false"/>
      <w:widowControl/>
      <w:suppressAutoHyphens w:val="false"/>
      <w:overflowPunct w:val="true"/>
      <w:bidi w:val="0"/>
      <w:spacing w:lineRule="auto" w:line="240" w:before="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00000A"/>
      <w:spacing w:val="0"/>
      <w:w w:val="100"/>
      <w:kern w:val="0"/>
      <w:position w:val="0"/>
      <w:sz w:val="24"/>
      <w:sz w:val="24"/>
      <w:szCs w:val="24"/>
      <w:u w:val="none"/>
      <w:vertAlign w:val="baseline"/>
      <w:lang w:val="en-US" w:eastAsia="en-US" w:bidi="ar-SA"/>
    </w:rPr>
  </w:style>
  <w:style w:type="paragraph" w:styleId="Heading2">
    <w:name w:val="Heading 2"/>
    <w:basedOn w:val="Heading"/>
    <w:next w:val="Body"/>
    <w:qFormat/>
    <w:pPr>
      <w:keepNext w:val="true"/>
      <w:keepLines w:val="false"/>
      <w:pageBreakBefore w:val="false"/>
      <w:widowControl/>
      <w:suppressAutoHyphens w:val="false"/>
      <w:bidi w:val="0"/>
      <w:spacing w:lineRule="auto" w:line="276" w:before="0" w:after="0"/>
      <w:ind w:left="0" w:right="0" w:hanging="0"/>
      <w:jc w:val="left"/>
      <w:outlineLvl w:val="1"/>
    </w:pPr>
    <w:rPr>
      <w:rFonts w:ascii="Helvetica" w:hAnsi="Helvetica" w:eastAsia="Arial Unicode MS" w:cs="Arial Unicode MS"/>
      <w:b w:val="false"/>
      <w:bCs w:val="false"/>
      <w:i w:val="false"/>
      <w:iCs w:val="false"/>
      <w:caps w:val="false"/>
      <w:smallCaps w:val="false"/>
      <w:strike w:val="false"/>
      <w:dstrike w:val="false"/>
      <w:outline w:val="false"/>
      <w:color w:val="000000"/>
      <w:spacing w:val="5"/>
      <w:position w:val="0"/>
      <w:sz w:val="28"/>
      <w:sz w:val="28"/>
      <w:szCs w:val="28"/>
      <w:u w:val="none"/>
      <w:vertAlign w:val="baseline"/>
      <w:lang w:val="en-US"/>
    </w:rPr>
  </w:style>
  <w:style w:type="paragraph" w:styleId="Heading3">
    <w:name w:val="Heading 3"/>
    <w:basedOn w:val="Heading"/>
    <w:next w:val="Body"/>
    <w:qFormat/>
    <w:pPr>
      <w:keepNext w:val="true"/>
      <w:keepLines w:val="false"/>
      <w:pageBreakBefore w:val="false"/>
      <w:widowControl/>
      <w:suppressAutoHyphens w:val="false"/>
      <w:bidi w:val="0"/>
      <w:spacing w:lineRule="auto" w:line="276" w:before="0" w:after="0"/>
      <w:ind w:left="0" w:right="0" w:hanging="0"/>
      <w:jc w:val="left"/>
      <w:outlineLvl w:val="2"/>
    </w:pPr>
    <w:rPr>
      <w:rFonts w:ascii="Helvetica" w:hAnsi="Helvetica" w:eastAsia="Arial Unicode MS" w:cs="Arial Unicode MS"/>
      <w:b w:val="false"/>
      <w:bCs w:val="false"/>
      <w:i w:val="false"/>
      <w:iCs w:val="false"/>
      <w:caps w:val="false"/>
      <w:smallCaps w:val="false"/>
      <w:strike w:val="false"/>
      <w:dstrike w:val="false"/>
      <w:outline w:val="false"/>
      <w:color w:val="000000"/>
      <w:spacing w:val="5"/>
      <w:position w:val="0"/>
      <w:sz w:val="24"/>
      <w:sz w:val="24"/>
      <w:szCs w:val="24"/>
      <w:u w:val="none"/>
      <w:vertAlign w:val="baseline"/>
      <w:lang w:val="en-US"/>
    </w:rPr>
  </w:style>
  <w:style w:type="paragraph" w:styleId="Heading4">
    <w:name w:val="Heading 4"/>
    <w:basedOn w:val="Heading"/>
    <w:next w:val="Body"/>
    <w:qFormat/>
    <w:pPr>
      <w:keepNext w:val="true"/>
      <w:keepLines w:val="false"/>
      <w:pageBreakBefore w:val="false"/>
      <w:widowControl/>
      <w:suppressAutoHyphens w:val="false"/>
      <w:bidi w:val="0"/>
      <w:spacing w:lineRule="auto" w:line="276" w:before="0" w:after="0"/>
      <w:ind w:left="0" w:right="0" w:hanging="0"/>
      <w:jc w:val="left"/>
      <w:outlineLvl w:val="3"/>
    </w:pPr>
    <w:rPr>
      <w:rFonts w:ascii="Calibri" w:hAnsi="Calibri" w:eastAsia="Calibri" w:cs="Calibri"/>
      <w:b w:val="false"/>
      <w:bCs w:val="false"/>
      <w:i w:val="false"/>
      <w:iCs w:val="false"/>
      <w:smallCaps/>
      <w:strike w:val="false"/>
      <w:dstrike w:val="false"/>
      <w:outline w:val="false"/>
      <w:color w:val="000000"/>
      <w:spacing w:val="10"/>
      <w:position w:val="0"/>
      <w:sz w:val="22"/>
      <w:sz w:val="22"/>
      <w:szCs w:val="22"/>
      <w:u w:val="none"/>
      <w:vertAlign w:val="baseline"/>
      <w:lang w:val="en-US"/>
    </w:rPr>
  </w:style>
  <w:style w:type="character" w:styleId="DefaultParagraphFont">
    <w:name w:val="Default Paragraph Font"/>
    <w:qFormat/>
    <w:rPr/>
  </w:style>
  <w:style w:type="character" w:styleId="InternetLink">
    <w:name w:val="Internet Link"/>
    <w:rPr>
      <w:u w:val="single" w:color="00000A"/>
    </w:rPr>
  </w:style>
  <w:style w:type="character" w:styleId="Hyperlink0">
    <w:name w:val="Hyperlink.0"/>
    <w:basedOn w:val="InternetLink"/>
    <w:qFormat/>
    <w:rPr>
      <w:color w:val="0000FF"/>
      <w:u w:val="single" w:color="0000FF"/>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Footer">
    <w:name w:val="Header &amp; Footer"/>
    <w:qFormat/>
    <w:pPr>
      <w:keepNext w:val="true"/>
      <w:keepLines w:val="false"/>
      <w:pageBreakBefore w:val="false"/>
      <w:widowControl/>
      <w:tabs>
        <w:tab w:val="clear" w:pos="720"/>
        <w:tab w:val="right" w:pos="9020" w:leader="none"/>
      </w:tabs>
      <w:suppressAutoHyphens w:val="false"/>
      <w:overflowPunct w:val="true"/>
      <w:bidi w:val="0"/>
      <w:spacing w:lineRule="auto" w:line="240" w:before="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vertAlign w:val="baseline"/>
      <w:lang w:val="en-US" w:eastAsia="zh-CN" w:bidi="hi-IN"/>
    </w:rPr>
  </w:style>
  <w:style w:type="paragraph" w:styleId="Title">
    <w:name w:val="Title"/>
    <w:basedOn w:val="Heading"/>
    <w:qFormat/>
    <w:pPr>
      <w:keepNext w:val="true"/>
      <w:keepLines w:val="false"/>
      <w:pageBreakBefore w:val="false"/>
      <w:widowControl/>
      <w:suppressAutoHyphens w:val="false"/>
      <w:bidi w:val="0"/>
      <w:spacing w:lineRule="auto" w:line="240" w:before="0" w:after="80"/>
      <w:ind w:left="0" w:right="0" w:hanging="0"/>
      <w:jc w:val="center"/>
    </w:pPr>
    <w:rPr>
      <w:rFonts w:ascii="Calibri" w:hAnsi="Calibri" w:eastAsia="Calibri" w:cs="Calibri"/>
      <w:b w:val="false"/>
      <w:bCs w:val="false"/>
      <w:i w:val="false"/>
      <w:iCs w:val="false"/>
      <w:caps w:val="false"/>
      <w:smallCaps w:val="false"/>
      <w:strike w:val="false"/>
      <w:dstrike w:val="false"/>
      <w:outline w:val="false"/>
      <w:color w:val="262626"/>
      <w:spacing w:val="0"/>
      <w:position w:val="0"/>
      <w:sz w:val="30"/>
      <w:sz w:val="30"/>
      <w:szCs w:val="30"/>
      <w:u w:val="none"/>
      <w:vertAlign w:val="baseline"/>
      <w:lang w:val="en-US"/>
    </w:rPr>
  </w:style>
  <w:style w:type="paragraph" w:styleId="Body">
    <w:name w:val="Body"/>
    <w:qFormat/>
    <w:pPr>
      <w:keepNext w:val="true"/>
      <w:keepLines w:val="false"/>
      <w:pageBreakBefore w:val="false"/>
      <w:widowControl/>
      <w:suppressAutoHyphens w:val="false"/>
      <w:overflowPunct w:val="true"/>
      <w:bidi w:val="0"/>
      <w:spacing w:lineRule="auto" w:line="276" w:before="0" w:after="20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vertAlign w:val="baseline"/>
      <w:lang w:val="en-US" w:eastAsia="zh-CN" w:bidi="hi-IN"/>
    </w:rPr>
  </w:style>
  <w:style w:type="paragraph" w:styleId="Default">
    <w:name w:val="Default"/>
    <w:qFormat/>
    <w:pPr>
      <w:keepNext w:val="true"/>
      <w:keepLines w:val="false"/>
      <w:pageBreakBefore w:val="false"/>
      <w:widowControl/>
      <w:suppressAutoHyphens w:val="false"/>
      <w:overflowPunct w:val="true"/>
      <w:bidi w:val="0"/>
      <w:spacing w:lineRule="auto" w:line="240" w:before="0" w:after="0"/>
      <w:ind w:left="0" w:right="0" w:hanging="0"/>
      <w:jc w:val="left"/>
    </w:pPr>
    <w:rPr>
      <w:rFonts w:ascii="Helvetica" w:hAnsi="Helvetica" w:eastAsia="Helvetica" w:cs="Helvetica"/>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vertAlign w:val="baseline"/>
      <w:lang w:val="en-US" w:eastAsia="zh-CN" w:bidi="hi-IN"/>
    </w:rPr>
  </w:style>
  <w:style w:type="paragraph" w:styleId="HeaderandFooter">
    <w:name w:val="Header and Footer"/>
    <w:basedOn w:val="Normal"/>
    <w:qFormat/>
    <w:pPr/>
    <w:rPr/>
  </w:style>
  <w:style w:type="paragraph" w:styleId="Header">
    <w:name w:val="Header"/>
    <w:basedOn w:val="Normal"/>
    <w:pPr/>
    <w:rPr/>
  </w:style>
  <w:style w:type="paragraph" w:styleId="Footer">
    <w:name w:val="Footer"/>
    <w:basedOn w:val="Normal"/>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ntech.policytech.com/dotNet/noAuth/login.aspx?ReturnUrl=%252fDefault.aspx%253fauto%253dfalse&amp;auto=false&amp;public=true" TargetMode="External"/><Relationship Id="rId3" Type="http://schemas.openxmlformats.org/officeDocument/2006/relationships/hyperlink" Target="https://tntech.policytech.com/dotNet/noAuth/login.aspx?ReturnUrl=%252fDefault.aspx%253fauto%253dfalse&amp;auto=false&amp;public=tru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LibreOffice/6.3.5.2$Linux_X86_64 LibreOffice_project/30$Build-2</Application>
  <Pages>3</Pages>
  <Words>992</Words>
  <Characters>5683</Characters>
  <CharactersWithSpaces>6612</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2020-04-03T13:31:50Z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LinksUpToDate">
    <vt:bool>0</vt:bool>
  </property>
</Properties>
</file>